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B9" w:rsidRDefault="00C15FB9" w:rsidP="00C15FB9">
      <w:pPr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Pelotas, </w:t>
      </w:r>
      <w:r w:rsidR="005D4481">
        <w:rPr>
          <w:rFonts w:ascii="Calibri" w:hAnsi="Calibri" w:cs="Calibri"/>
          <w:szCs w:val="24"/>
        </w:rPr>
        <w:t>07</w:t>
      </w:r>
      <w:r>
        <w:rPr>
          <w:rFonts w:ascii="Calibri" w:hAnsi="Calibri" w:cs="Calibri"/>
          <w:szCs w:val="24"/>
        </w:rPr>
        <w:t xml:space="preserve"> de </w:t>
      </w:r>
      <w:r w:rsidR="005D4481">
        <w:rPr>
          <w:rFonts w:ascii="Calibri" w:hAnsi="Calibri" w:cs="Calibri"/>
          <w:szCs w:val="24"/>
        </w:rPr>
        <w:t>Dez</w:t>
      </w:r>
      <w:r>
        <w:rPr>
          <w:rFonts w:ascii="Calibri" w:hAnsi="Calibri" w:cs="Calibri"/>
          <w:szCs w:val="24"/>
        </w:rPr>
        <w:t>embro de 2016.</w:t>
      </w:r>
    </w:p>
    <w:p w:rsidR="00C15FB9" w:rsidRDefault="00C15FB9" w:rsidP="00C15FB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Cs w:val="24"/>
        </w:rPr>
      </w:pPr>
    </w:p>
    <w:p w:rsidR="00C15FB9" w:rsidRDefault="00C15FB9" w:rsidP="00C15FB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Cs w:val="24"/>
        </w:rPr>
      </w:pPr>
      <w:r w:rsidRPr="00EE7734">
        <w:rPr>
          <w:rFonts w:ascii="Calibri" w:hAnsi="Calibri" w:cs="Calibri"/>
          <w:szCs w:val="24"/>
        </w:rPr>
        <w:t>Ao</w:t>
      </w:r>
    </w:p>
    <w:p w:rsidR="00C15FB9" w:rsidRDefault="00C15FB9" w:rsidP="00C15FB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Cs w:val="24"/>
        </w:rPr>
      </w:pPr>
      <w:r w:rsidRPr="00EE7734">
        <w:rPr>
          <w:rFonts w:ascii="Calibri" w:hAnsi="Calibri" w:cs="Calibri"/>
          <w:szCs w:val="24"/>
        </w:rPr>
        <w:t xml:space="preserve"> </w:t>
      </w:r>
      <w:proofErr w:type="gramStart"/>
      <w:r w:rsidRPr="00EE7734">
        <w:rPr>
          <w:rFonts w:ascii="Calibri" w:hAnsi="Calibri" w:cs="Calibri"/>
          <w:szCs w:val="24"/>
        </w:rPr>
        <w:t>Sr.</w:t>
      </w:r>
      <w:proofErr w:type="gramEnd"/>
      <w:r w:rsidRPr="00EE7734">
        <w:rPr>
          <w:rFonts w:ascii="Calibri" w:hAnsi="Calibri" w:cs="Calibri"/>
          <w:szCs w:val="24"/>
        </w:rPr>
        <w:t xml:space="preserve"> Comandante </w:t>
      </w:r>
      <w:r>
        <w:rPr>
          <w:rFonts w:ascii="Calibri" w:hAnsi="Calibri" w:cs="Calibri"/>
          <w:szCs w:val="24"/>
        </w:rPr>
        <w:t>d</w:t>
      </w:r>
      <w:r w:rsidRPr="00EE7734">
        <w:rPr>
          <w:rFonts w:ascii="Calibri" w:hAnsi="Calibri" w:cs="Calibri"/>
          <w:szCs w:val="24"/>
        </w:rPr>
        <w:t xml:space="preserve">o </w:t>
      </w:r>
      <w:r w:rsidR="008306AB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 xml:space="preserve">º </w:t>
      </w:r>
      <w:r w:rsidRPr="00EE7734">
        <w:rPr>
          <w:rFonts w:ascii="Calibri" w:hAnsi="Calibri" w:cs="Calibri"/>
          <w:szCs w:val="24"/>
        </w:rPr>
        <w:t>C</w:t>
      </w:r>
      <w:r>
        <w:rPr>
          <w:rFonts w:ascii="Calibri" w:hAnsi="Calibri" w:cs="Calibri"/>
          <w:szCs w:val="24"/>
        </w:rPr>
        <w:t>RB-SPI</w:t>
      </w:r>
    </w:p>
    <w:p w:rsidR="00C15FB9" w:rsidRPr="00EE7734" w:rsidRDefault="0073661F" w:rsidP="00C15FB9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Pelotas</w:t>
      </w:r>
      <w:r w:rsidR="00C15FB9">
        <w:rPr>
          <w:rFonts w:ascii="Calibri" w:hAnsi="Calibri" w:cs="Calibri"/>
          <w:szCs w:val="24"/>
        </w:rPr>
        <w:t>/RS</w:t>
      </w:r>
    </w:p>
    <w:p w:rsidR="00C15FB9" w:rsidRPr="00734646" w:rsidRDefault="00C15FB9" w:rsidP="00C15FB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szCs w:val="24"/>
          <w:u w:val="single"/>
        </w:rPr>
      </w:pPr>
      <w:r>
        <w:rPr>
          <w:rFonts w:ascii="Calibri" w:hAnsi="Calibri" w:cs="Calibri"/>
          <w:b/>
          <w:szCs w:val="24"/>
          <w:u w:val="single"/>
        </w:rPr>
        <w:t>OFÍCIO</w:t>
      </w:r>
    </w:p>
    <w:p w:rsidR="00C15FB9" w:rsidRDefault="00C15FB9" w:rsidP="00C15FB9">
      <w:pPr>
        <w:autoSpaceDE w:val="0"/>
        <w:autoSpaceDN w:val="0"/>
        <w:adjustRightInd w:val="0"/>
        <w:jc w:val="both"/>
        <w:rPr>
          <w:rFonts w:ascii="Calibri" w:hAnsi="Calibri" w:cs="Calibri"/>
          <w:szCs w:val="24"/>
        </w:rPr>
      </w:pPr>
    </w:p>
    <w:p w:rsidR="00B92581" w:rsidRDefault="00C15FB9" w:rsidP="00BD080D">
      <w:pPr>
        <w:jc w:val="both"/>
      </w:pPr>
      <w:r>
        <w:rPr>
          <w:rFonts w:ascii="Calibri" w:hAnsi="Calibri" w:cs="Calibri"/>
          <w:szCs w:val="24"/>
        </w:rPr>
        <w:t xml:space="preserve">Viemos por meio </w:t>
      </w:r>
      <w:proofErr w:type="gramStart"/>
      <w:r>
        <w:rPr>
          <w:rFonts w:ascii="Calibri" w:hAnsi="Calibri" w:cs="Calibri"/>
          <w:szCs w:val="24"/>
        </w:rPr>
        <w:t>deste ofício esclarecer</w:t>
      </w:r>
      <w:proofErr w:type="gramEnd"/>
      <w:r>
        <w:rPr>
          <w:rFonts w:ascii="Calibri" w:hAnsi="Calibri" w:cs="Calibri"/>
          <w:szCs w:val="24"/>
        </w:rPr>
        <w:t xml:space="preserve"> os itens da Notificação de </w:t>
      </w:r>
      <w:r w:rsidR="00D00C69">
        <w:t xml:space="preserve">correção de exame nº </w:t>
      </w:r>
      <w:r w:rsidR="00770D62">
        <w:t>12.913</w:t>
      </w:r>
      <w:r w:rsidR="00D00C69">
        <w:t xml:space="preserve"> – PPCI Nº 6464/1 – 2</w:t>
      </w:r>
      <w:r w:rsidR="00770D62">
        <w:t>7</w:t>
      </w:r>
      <w:r w:rsidR="00D00C69">
        <w:t>/06/2008</w:t>
      </w:r>
      <w:r w:rsidR="00770D62">
        <w:t>, notificação emitida em 24/10/2016</w:t>
      </w:r>
      <w:r w:rsidR="00D00C69">
        <w:t>.</w:t>
      </w:r>
    </w:p>
    <w:p w:rsidR="00D00C69" w:rsidRDefault="00D00C69" w:rsidP="00BD080D">
      <w:pPr>
        <w:jc w:val="both"/>
      </w:pPr>
    </w:p>
    <w:p w:rsidR="00D00C69" w:rsidRDefault="005D4481" w:rsidP="00BD080D">
      <w:pPr>
        <w:pStyle w:val="PargrafodaLista"/>
        <w:numPr>
          <w:ilvl w:val="0"/>
          <w:numId w:val="1"/>
        </w:numPr>
        <w:jc w:val="both"/>
      </w:pPr>
      <w:r>
        <w:t>Extintores de Incêndio:</w:t>
      </w:r>
    </w:p>
    <w:p w:rsidR="005D4481" w:rsidRDefault="005D4481" w:rsidP="005D4481">
      <w:pPr>
        <w:pStyle w:val="PargrafodaLista"/>
        <w:numPr>
          <w:ilvl w:val="1"/>
          <w:numId w:val="1"/>
        </w:numPr>
        <w:jc w:val="both"/>
      </w:pPr>
      <w:r>
        <w:t>Corrigir número de ordem dos extintores e deverá apresentar capacidade extintora em todos extintores.</w:t>
      </w:r>
    </w:p>
    <w:p w:rsidR="00D00C69" w:rsidRDefault="00D00C69" w:rsidP="00A003A5">
      <w:pPr>
        <w:ind w:left="360"/>
        <w:jc w:val="both"/>
      </w:pPr>
      <w:r w:rsidRPr="00896AB4">
        <w:rPr>
          <w:b/>
          <w:u w:val="single"/>
        </w:rPr>
        <w:t xml:space="preserve">Resposta: </w:t>
      </w:r>
      <w:r w:rsidR="005D4481">
        <w:rPr>
          <w:b/>
          <w:u w:val="single"/>
        </w:rPr>
        <w:t xml:space="preserve">corrigido nas pranchas </w:t>
      </w:r>
      <w:r w:rsidR="0030734E">
        <w:rPr>
          <w:b/>
          <w:u w:val="single"/>
        </w:rPr>
        <w:t>02</w:t>
      </w:r>
      <w:r w:rsidR="006E1914">
        <w:rPr>
          <w:b/>
          <w:u w:val="single"/>
        </w:rPr>
        <w:t>, 03, 04</w:t>
      </w:r>
      <w:r w:rsidR="0030734E">
        <w:rPr>
          <w:b/>
          <w:u w:val="single"/>
        </w:rPr>
        <w:t xml:space="preserve">, </w:t>
      </w:r>
      <w:r w:rsidR="006E1914">
        <w:rPr>
          <w:b/>
          <w:u w:val="single"/>
        </w:rPr>
        <w:t>05</w:t>
      </w:r>
      <w:r w:rsidR="0030734E">
        <w:rPr>
          <w:b/>
          <w:u w:val="single"/>
        </w:rPr>
        <w:t xml:space="preserve"> e 06</w:t>
      </w:r>
      <w:r w:rsidRPr="00896AB4">
        <w:t>.</w:t>
      </w:r>
    </w:p>
    <w:p w:rsidR="005D4481" w:rsidRDefault="005D4481" w:rsidP="005D4481">
      <w:pPr>
        <w:pStyle w:val="PargrafodaLista"/>
        <w:numPr>
          <w:ilvl w:val="1"/>
          <w:numId w:val="1"/>
        </w:numPr>
        <w:jc w:val="both"/>
      </w:pPr>
      <w:r>
        <w:t>Corrigir distância máxima de cobertura do extintor (risco médio).</w:t>
      </w:r>
    </w:p>
    <w:p w:rsidR="00A003A5" w:rsidRPr="00A003A5" w:rsidRDefault="00A003A5" w:rsidP="00A003A5">
      <w:pPr>
        <w:ind w:left="360"/>
        <w:jc w:val="both"/>
        <w:rPr>
          <w:rFonts w:ascii="Calibri" w:hAnsi="Calibri" w:cs="Calibri"/>
          <w:b/>
          <w:szCs w:val="24"/>
          <w:u w:val="single"/>
        </w:rPr>
      </w:pPr>
      <w:r>
        <w:rPr>
          <w:rFonts w:ascii="Calibri" w:hAnsi="Calibri" w:cs="Calibri"/>
          <w:b/>
          <w:szCs w:val="24"/>
          <w:u w:val="single"/>
        </w:rPr>
        <w:t xml:space="preserve">Resposta: </w:t>
      </w:r>
      <w:r w:rsidRPr="00A003A5">
        <w:rPr>
          <w:rFonts w:ascii="Calibri" w:hAnsi="Calibri" w:cs="Calibri"/>
          <w:b/>
          <w:szCs w:val="24"/>
          <w:u w:val="single"/>
        </w:rPr>
        <w:t>Da Proteção para riscos classe “B”: Não há carga combustível tipo “B” na edificação, motivo pelo qual a proteção prevista para este risco é a mínima, acompanhando o risco principal – classe A.</w:t>
      </w:r>
    </w:p>
    <w:p w:rsidR="00A003A5" w:rsidRPr="00A003A5" w:rsidRDefault="00A003A5" w:rsidP="00A003A5">
      <w:pPr>
        <w:ind w:left="360"/>
        <w:jc w:val="both"/>
        <w:rPr>
          <w:rFonts w:ascii="Calibri" w:hAnsi="Calibri" w:cs="Arial"/>
          <w:b/>
          <w:bCs/>
          <w:szCs w:val="24"/>
          <w:u w:val="single"/>
        </w:rPr>
      </w:pPr>
      <w:r w:rsidRPr="00A003A5">
        <w:rPr>
          <w:rFonts w:ascii="Calibri" w:hAnsi="Calibri" w:cs="Arial"/>
          <w:b/>
          <w:bCs/>
          <w:szCs w:val="24"/>
          <w:u w:val="single"/>
        </w:rPr>
        <w:t>Da Resolução Técnica de Transição CBMRS</w:t>
      </w:r>
      <w:r w:rsidR="00EC3586">
        <w:rPr>
          <w:rFonts w:ascii="Calibri" w:hAnsi="Calibri" w:cs="Arial"/>
          <w:b/>
          <w:bCs/>
          <w:szCs w:val="24"/>
          <w:u w:val="single"/>
        </w:rPr>
        <w:t xml:space="preserve">/2015 </w:t>
      </w:r>
      <w:r w:rsidRPr="00A003A5">
        <w:rPr>
          <w:rFonts w:ascii="Calibri" w:hAnsi="Calibri" w:cs="Arial"/>
          <w:b/>
          <w:bCs/>
          <w:szCs w:val="24"/>
          <w:u w:val="single"/>
        </w:rPr>
        <w:t>- Tabela 2:</w:t>
      </w:r>
    </w:p>
    <w:p w:rsidR="00A003A5" w:rsidRPr="00A003A5" w:rsidRDefault="00A003A5" w:rsidP="00A003A5">
      <w:pPr>
        <w:ind w:left="360"/>
        <w:jc w:val="both"/>
        <w:rPr>
          <w:rFonts w:cs="Arial"/>
          <w:b/>
          <w:bCs/>
          <w:sz w:val="20"/>
          <w:u w:val="single"/>
        </w:rPr>
      </w:pPr>
      <w:r w:rsidRPr="00A003A5">
        <w:rPr>
          <w:noProof/>
          <w:lang w:eastAsia="pt-BR"/>
        </w:rPr>
        <w:drawing>
          <wp:inline distT="0" distB="0" distL="0" distR="0" wp14:anchorId="6AB0A67B" wp14:editId="15EFB399">
            <wp:extent cx="5610225" cy="187642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3A5" w:rsidRPr="00A003A5" w:rsidRDefault="00A003A5" w:rsidP="00A003A5">
      <w:pPr>
        <w:ind w:left="360"/>
        <w:jc w:val="both"/>
        <w:rPr>
          <w:rFonts w:ascii="Calibri" w:hAnsi="Calibri" w:cs="Arial"/>
          <w:b/>
          <w:bCs/>
          <w:szCs w:val="24"/>
          <w:u w:val="single"/>
        </w:rPr>
      </w:pPr>
      <w:r w:rsidRPr="00A003A5">
        <w:rPr>
          <w:rFonts w:ascii="Calibri" w:hAnsi="Calibri" w:cs="Arial"/>
          <w:b/>
          <w:bCs/>
          <w:szCs w:val="24"/>
          <w:u w:val="single"/>
        </w:rPr>
        <w:t>Da RT-14/201</w:t>
      </w:r>
      <w:r w:rsidR="00EC3586">
        <w:rPr>
          <w:rFonts w:ascii="Calibri" w:hAnsi="Calibri" w:cs="Arial"/>
          <w:b/>
          <w:bCs/>
          <w:szCs w:val="24"/>
          <w:u w:val="single"/>
        </w:rPr>
        <w:t>6</w:t>
      </w:r>
      <w:r w:rsidRPr="00A003A5">
        <w:rPr>
          <w:rFonts w:ascii="Calibri" w:hAnsi="Calibri" w:cs="Arial"/>
          <w:b/>
          <w:bCs/>
          <w:szCs w:val="24"/>
          <w:u w:val="single"/>
        </w:rPr>
        <w:t xml:space="preserve"> do CBMRS:</w:t>
      </w:r>
    </w:p>
    <w:p w:rsidR="00A003A5" w:rsidRPr="00A003A5" w:rsidRDefault="00A003A5" w:rsidP="00A003A5">
      <w:pPr>
        <w:ind w:left="360"/>
        <w:jc w:val="both"/>
        <w:rPr>
          <w:rFonts w:ascii="Calibri" w:hAnsi="Calibri" w:cs="Calibri"/>
          <w:b/>
          <w:i/>
          <w:szCs w:val="24"/>
          <w:u w:val="single"/>
        </w:rPr>
      </w:pPr>
      <w:r w:rsidRPr="00A003A5">
        <w:rPr>
          <w:rFonts w:ascii="Calibri" w:hAnsi="Calibri" w:cs="Calibri"/>
          <w:b/>
          <w:i/>
          <w:szCs w:val="24"/>
          <w:u w:val="single"/>
        </w:rPr>
        <w:t>5.3.1.2 Devem ser previstos extintores adequados, apenas para as classes de incêndio existentes no local de cobertura do extintor e para o tamanho do fogo esperado.</w:t>
      </w:r>
    </w:p>
    <w:p w:rsidR="005F4DD1" w:rsidRDefault="00A003A5" w:rsidP="00A003A5">
      <w:pPr>
        <w:ind w:left="360"/>
        <w:jc w:val="both"/>
        <w:rPr>
          <w:rFonts w:ascii="Calibri" w:hAnsi="Calibri" w:cs="Calibri"/>
          <w:b/>
          <w:i/>
          <w:szCs w:val="24"/>
          <w:u w:val="single"/>
        </w:rPr>
      </w:pPr>
      <w:r w:rsidRPr="00A003A5">
        <w:rPr>
          <w:rFonts w:ascii="Calibri" w:hAnsi="Calibri" w:cs="Calibri"/>
          <w:b/>
          <w:i/>
          <w:szCs w:val="24"/>
          <w:u w:val="single"/>
        </w:rPr>
        <w:lastRenderedPageBreak/>
        <w:t xml:space="preserve">5.4.1.8 </w:t>
      </w:r>
      <w:r w:rsidR="005F4DD1" w:rsidRPr="005F4DD1">
        <w:rPr>
          <w:rFonts w:ascii="Calibri" w:hAnsi="Calibri" w:cs="Calibri"/>
          <w:b/>
          <w:i/>
          <w:szCs w:val="24"/>
          <w:u w:val="single"/>
        </w:rPr>
        <w:t>A proteção do conteúdo da edificação ou</w:t>
      </w:r>
      <w:r w:rsidR="005F4DD1">
        <w:rPr>
          <w:rFonts w:ascii="Calibri" w:hAnsi="Calibri" w:cs="Calibri"/>
          <w:b/>
          <w:i/>
          <w:szCs w:val="24"/>
          <w:u w:val="single"/>
        </w:rPr>
        <w:t xml:space="preserve"> </w:t>
      </w:r>
      <w:r w:rsidR="005F4DD1" w:rsidRPr="005F4DD1">
        <w:rPr>
          <w:rFonts w:ascii="Calibri" w:hAnsi="Calibri" w:cs="Calibri"/>
          <w:b/>
          <w:i/>
          <w:szCs w:val="24"/>
          <w:u w:val="single"/>
        </w:rPr>
        <w:t>da área de risco de incêndio e de suas</w:t>
      </w:r>
      <w:r w:rsidR="005F4DD1">
        <w:rPr>
          <w:rFonts w:ascii="Calibri" w:hAnsi="Calibri" w:cs="Calibri"/>
          <w:b/>
          <w:i/>
          <w:szCs w:val="24"/>
          <w:u w:val="single"/>
        </w:rPr>
        <w:t xml:space="preserve"> </w:t>
      </w:r>
      <w:r w:rsidR="005F4DD1" w:rsidRPr="005F4DD1">
        <w:rPr>
          <w:rFonts w:ascii="Calibri" w:hAnsi="Calibri" w:cs="Calibri"/>
          <w:b/>
          <w:i/>
          <w:szCs w:val="24"/>
          <w:u w:val="single"/>
        </w:rPr>
        <w:t>respectivas estruturas deve ser realizada por</w:t>
      </w:r>
      <w:r w:rsidR="005F4DD1">
        <w:rPr>
          <w:rFonts w:ascii="Calibri" w:hAnsi="Calibri" w:cs="Calibri"/>
          <w:b/>
          <w:i/>
          <w:szCs w:val="24"/>
          <w:u w:val="single"/>
        </w:rPr>
        <w:t xml:space="preserve"> </w:t>
      </w:r>
      <w:r w:rsidR="005F4DD1" w:rsidRPr="005F4DD1">
        <w:rPr>
          <w:rFonts w:ascii="Calibri" w:hAnsi="Calibri" w:cs="Calibri"/>
          <w:b/>
          <w:i/>
          <w:szCs w:val="24"/>
          <w:u w:val="single"/>
        </w:rPr>
        <w:t>extintores adequados as classes de incêndio</w:t>
      </w:r>
      <w:r w:rsidR="005F4DD1">
        <w:rPr>
          <w:rFonts w:ascii="Calibri" w:hAnsi="Calibri" w:cs="Calibri"/>
          <w:b/>
          <w:i/>
          <w:szCs w:val="24"/>
          <w:u w:val="single"/>
        </w:rPr>
        <w:t xml:space="preserve"> </w:t>
      </w:r>
      <w:r w:rsidR="005F4DD1" w:rsidRPr="005F4DD1">
        <w:rPr>
          <w:rFonts w:ascii="Calibri" w:hAnsi="Calibri" w:cs="Calibri"/>
          <w:b/>
          <w:i/>
          <w:szCs w:val="24"/>
          <w:u w:val="single"/>
        </w:rPr>
        <w:t>existentes no local.</w:t>
      </w:r>
    </w:p>
    <w:p w:rsidR="00A003A5" w:rsidRDefault="00A003A5" w:rsidP="00A003A5">
      <w:pPr>
        <w:ind w:left="360"/>
        <w:jc w:val="both"/>
        <w:rPr>
          <w:rFonts w:ascii="Calibri" w:hAnsi="Calibri" w:cs="Calibri"/>
          <w:b/>
          <w:szCs w:val="24"/>
          <w:u w:val="single"/>
        </w:rPr>
      </w:pPr>
      <w:r w:rsidRPr="00A003A5">
        <w:rPr>
          <w:rFonts w:ascii="Calibri" w:hAnsi="Calibri" w:cs="Calibri"/>
          <w:b/>
          <w:szCs w:val="24"/>
          <w:u w:val="single"/>
        </w:rPr>
        <w:t>Da proteção para classe existente – risco Médio, para Classe A: Os extintores de incêndio foram projetados de acordo com a Resolução Técnica CBMRS nº 14, para o risco Médio. Instalados em baterias</w:t>
      </w:r>
      <w:r w:rsidR="00EC3586">
        <w:rPr>
          <w:rFonts w:ascii="Calibri" w:hAnsi="Calibri" w:cs="Calibri"/>
          <w:b/>
          <w:szCs w:val="24"/>
          <w:u w:val="single"/>
        </w:rPr>
        <w:t xml:space="preserve"> no subsolo</w:t>
      </w:r>
      <w:r w:rsidRPr="00A003A5">
        <w:rPr>
          <w:rFonts w:ascii="Calibri" w:hAnsi="Calibri" w:cs="Calibri"/>
          <w:b/>
          <w:szCs w:val="24"/>
          <w:u w:val="single"/>
        </w:rPr>
        <w:t>, atendendo ao disposto no artigo 5.4.1.14. Em qualquer local não se percorre mais de 40m para alcançar os extintores</w:t>
      </w:r>
      <w:r w:rsidR="00EC3586">
        <w:rPr>
          <w:rFonts w:ascii="Calibri" w:hAnsi="Calibri" w:cs="Calibri"/>
          <w:b/>
          <w:szCs w:val="24"/>
          <w:u w:val="single"/>
        </w:rPr>
        <w:t>. Nos demais pavimentos os extintores estão instalados com distância máxima a ser percorrida de 20m.</w:t>
      </w:r>
    </w:p>
    <w:p w:rsidR="00A003A5" w:rsidRPr="00A003A5" w:rsidRDefault="00A003A5" w:rsidP="00A003A5">
      <w:pPr>
        <w:ind w:left="360"/>
        <w:jc w:val="both"/>
        <w:rPr>
          <w:rFonts w:ascii="Calibri" w:hAnsi="Calibri" w:cs="Calibri"/>
          <w:b/>
          <w:szCs w:val="24"/>
          <w:u w:val="single"/>
        </w:rPr>
      </w:pPr>
      <w:r w:rsidRPr="00A003A5">
        <w:rPr>
          <w:rFonts w:ascii="Calibri" w:hAnsi="Calibri" w:cs="Calibri"/>
          <w:b/>
          <w:szCs w:val="24"/>
          <w:u w:val="single"/>
        </w:rPr>
        <w:t xml:space="preserve">Conforme tabela 1 da RT-14 - utilizamos extintores com capacidade extintora de 3-A (indiscriminadamente sendo PQS), superior à capacidade extintora mínima exigida que </w:t>
      </w:r>
      <w:proofErr w:type="gramStart"/>
      <w:r w:rsidRPr="00A003A5">
        <w:rPr>
          <w:rFonts w:ascii="Calibri" w:hAnsi="Calibri" w:cs="Calibri"/>
          <w:b/>
          <w:szCs w:val="24"/>
          <w:u w:val="single"/>
        </w:rPr>
        <w:t>é</w:t>
      </w:r>
      <w:proofErr w:type="gramEnd"/>
      <w:r w:rsidRPr="00A003A5">
        <w:rPr>
          <w:rFonts w:ascii="Calibri" w:hAnsi="Calibri" w:cs="Calibri"/>
          <w:b/>
          <w:szCs w:val="24"/>
          <w:u w:val="single"/>
        </w:rPr>
        <w:t xml:space="preserve"> 2-A. Para classe B, conforme RT de transição é exigida capacidade extintora mínima 10-B:C, utilizamos extintores com capacidade extintora de 20-B:C. </w:t>
      </w:r>
    </w:p>
    <w:p w:rsidR="00A003A5" w:rsidRPr="00A003A5" w:rsidRDefault="00A003A5" w:rsidP="00A003A5">
      <w:pPr>
        <w:ind w:left="360"/>
        <w:jc w:val="both"/>
        <w:rPr>
          <w:rFonts w:ascii="Calibri" w:hAnsi="Calibri" w:cs="Calibri"/>
          <w:b/>
          <w:szCs w:val="24"/>
          <w:u w:val="single"/>
        </w:rPr>
      </w:pPr>
      <w:r w:rsidRPr="00A003A5">
        <w:rPr>
          <w:rFonts w:ascii="Calibri" w:hAnsi="Calibri" w:cs="Calibri"/>
          <w:b/>
          <w:szCs w:val="24"/>
          <w:u w:val="single"/>
        </w:rPr>
        <w:t>O projeto atende ao exigido nas Resoluções Técnicas.</w:t>
      </w:r>
    </w:p>
    <w:p w:rsidR="00D00C69" w:rsidRDefault="006E1914" w:rsidP="00BD080D">
      <w:pPr>
        <w:pStyle w:val="PargrafodaLista"/>
        <w:numPr>
          <w:ilvl w:val="0"/>
          <w:numId w:val="1"/>
        </w:numPr>
        <w:jc w:val="both"/>
      </w:pPr>
      <w:r>
        <w:t xml:space="preserve">Hidrantes e </w:t>
      </w:r>
      <w:proofErr w:type="spellStart"/>
      <w:r>
        <w:t>mangotinhos</w:t>
      </w:r>
      <w:proofErr w:type="spellEnd"/>
      <w:r w:rsidR="00D00C69">
        <w:t>;</w:t>
      </w:r>
    </w:p>
    <w:p w:rsidR="006E1914" w:rsidRDefault="006E1914" w:rsidP="006E1914">
      <w:pPr>
        <w:pStyle w:val="PargrafodaLista"/>
        <w:numPr>
          <w:ilvl w:val="1"/>
          <w:numId w:val="1"/>
        </w:numPr>
        <w:jc w:val="both"/>
      </w:pPr>
      <w:r>
        <w:t>Corrigir número de ordem na caixa dos hidrantes.</w:t>
      </w:r>
    </w:p>
    <w:p w:rsidR="00770D62" w:rsidRDefault="00770D62" w:rsidP="00770D62">
      <w:pPr>
        <w:pStyle w:val="PargrafodaLista"/>
        <w:jc w:val="both"/>
      </w:pPr>
      <w:r w:rsidRPr="00770D62">
        <w:rPr>
          <w:b/>
          <w:u w:val="single"/>
        </w:rPr>
        <w:t xml:space="preserve">Resposta: corrigido nas pranchas </w:t>
      </w:r>
      <w:r w:rsidR="0030734E">
        <w:rPr>
          <w:b/>
          <w:u w:val="single"/>
        </w:rPr>
        <w:t>02, 03, 04, 05 e 06</w:t>
      </w:r>
      <w:r w:rsidRPr="00896AB4">
        <w:t>.</w:t>
      </w:r>
    </w:p>
    <w:p w:rsidR="00D00C69" w:rsidRPr="00D00C69" w:rsidRDefault="00D00C69" w:rsidP="00BD080D">
      <w:pPr>
        <w:pStyle w:val="PargrafodaLista"/>
        <w:jc w:val="both"/>
      </w:pPr>
    </w:p>
    <w:p w:rsidR="00D00C69" w:rsidRPr="00D00C69" w:rsidRDefault="00AB231C" w:rsidP="00BD080D">
      <w:pPr>
        <w:pStyle w:val="PargrafodaLista"/>
        <w:numPr>
          <w:ilvl w:val="0"/>
          <w:numId w:val="1"/>
        </w:numPr>
        <w:jc w:val="both"/>
        <w:rPr>
          <w:b/>
          <w:u w:val="single"/>
        </w:rPr>
      </w:pPr>
      <w:r>
        <w:t>Outros</w:t>
      </w:r>
      <w:r w:rsidR="00D00C69">
        <w:t>;</w:t>
      </w:r>
    </w:p>
    <w:p w:rsidR="00E24274" w:rsidRDefault="00E24274" w:rsidP="00E24274">
      <w:pPr>
        <w:pStyle w:val="PargrafodaLista"/>
        <w:numPr>
          <w:ilvl w:val="1"/>
          <w:numId w:val="1"/>
        </w:numPr>
        <w:jc w:val="both"/>
      </w:pPr>
      <w:r>
        <w:t xml:space="preserve">Corrigir anexo </w:t>
      </w:r>
      <w:proofErr w:type="gramStart"/>
      <w:r>
        <w:t>D.</w:t>
      </w:r>
      <w:proofErr w:type="gramEnd"/>
      <w:r>
        <w:t>4 que consta hidráulica tipo 2 e planta tipo 2³.</w:t>
      </w:r>
    </w:p>
    <w:p w:rsidR="00D00C69" w:rsidRDefault="005D20BE" w:rsidP="00BD080D">
      <w:pPr>
        <w:pStyle w:val="PargrafodaLista"/>
        <w:jc w:val="both"/>
        <w:rPr>
          <w:b/>
          <w:u w:val="single"/>
        </w:rPr>
      </w:pPr>
      <w:r>
        <w:rPr>
          <w:b/>
          <w:u w:val="single"/>
        </w:rPr>
        <w:t>Resposta: Item corrigido para o tipo 2³</w:t>
      </w:r>
      <w:r w:rsidR="00896AB4">
        <w:rPr>
          <w:b/>
          <w:u w:val="single"/>
        </w:rPr>
        <w:t>.</w:t>
      </w:r>
    </w:p>
    <w:p w:rsidR="005D20BE" w:rsidRDefault="005D20BE" w:rsidP="005D20BE">
      <w:pPr>
        <w:pStyle w:val="PargrafodaLista"/>
        <w:numPr>
          <w:ilvl w:val="1"/>
          <w:numId w:val="1"/>
        </w:numPr>
        <w:jc w:val="both"/>
      </w:pPr>
      <w:r>
        <w:t>Deverá informar área do subsolo no anexo B.</w:t>
      </w:r>
    </w:p>
    <w:p w:rsidR="005D20BE" w:rsidRDefault="005D20BE" w:rsidP="005D20BE">
      <w:pPr>
        <w:pStyle w:val="PargrafodaLista"/>
        <w:jc w:val="both"/>
        <w:rPr>
          <w:b/>
          <w:u w:val="single"/>
        </w:rPr>
      </w:pPr>
      <w:r>
        <w:rPr>
          <w:b/>
          <w:u w:val="single"/>
        </w:rPr>
        <w:t>Resposta: Item informado no anexo B.</w:t>
      </w:r>
    </w:p>
    <w:p w:rsidR="00D00C69" w:rsidRPr="00835D09" w:rsidRDefault="008306AB" w:rsidP="00BD080D">
      <w:pPr>
        <w:pStyle w:val="PargrafodaLista"/>
        <w:jc w:val="both"/>
      </w:pPr>
      <w:r>
        <w:rPr>
          <w:b/>
          <w:u w:val="single"/>
        </w:rPr>
        <w:t xml:space="preserve">O subsolo é utilizado como </w:t>
      </w:r>
      <w:r w:rsidRPr="008306AB">
        <w:rPr>
          <w:b/>
          <w:u w:val="single"/>
        </w:rPr>
        <w:t>áreas técnicas sem aproveitamento para quaisquer a</w:t>
      </w:r>
      <w:r>
        <w:rPr>
          <w:b/>
          <w:u w:val="single"/>
        </w:rPr>
        <w:t>tividades ou permanência humana. F</w:t>
      </w:r>
      <w:r w:rsidR="00D00C69" w:rsidRPr="00835D09">
        <w:rPr>
          <w:b/>
          <w:u w:val="single"/>
        </w:rPr>
        <w:t>oi anexada ao processo cópia autenticada da certidão de tombamento da edificação.</w:t>
      </w:r>
      <w:r w:rsidR="007658D1" w:rsidRPr="00835D09">
        <w:rPr>
          <w:b/>
          <w:u w:val="single"/>
        </w:rPr>
        <w:t xml:space="preserve"> Ver abaixo.</w:t>
      </w:r>
    </w:p>
    <w:p w:rsidR="008306AB" w:rsidRPr="008306AB" w:rsidRDefault="008306AB" w:rsidP="00971673">
      <w:pPr>
        <w:pStyle w:val="Default"/>
        <w:rPr>
          <w:sz w:val="23"/>
          <w:szCs w:val="23"/>
        </w:rPr>
      </w:pPr>
      <w:r w:rsidRPr="008306AB">
        <w:rPr>
          <w:sz w:val="23"/>
          <w:szCs w:val="23"/>
        </w:rPr>
        <w:t>Conforme LEI COMPLEMENTAR Nº 14.376, DE 26 DE DEZEMBRO DE 2013</w:t>
      </w:r>
    </w:p>
    <w:p w:rsidR="008306AB" w:rsidRPr="008306AB" w:rsidRDefault="008306AB" w:rsidP="00971673">
      <w:pPr>
        <w:pStyle w:val="Default"/>
        <w:rPr>
          <w:sz w:val="23"/>
          <w:szCs w:val="23"/>
        </w:rPr>
      </w:pP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29. </w:t>
      </w:r>
      <w:r>
        <w:rPr>
          <w:sz w:val="23"/>
          <w:szCs w:val="23"/>
        </w:rPr>
        <w:t xml:space="preserve">Para fins de aplicação desta legislação, na mensuração da altura da edificação, não serão considerados: </w:t>
      </w:r>
    </w:p>
    <w:p w:rsidR="00D00C69" w:rsidRDefault="00971673" w:rsidP="0097167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I - os subsolos destinados exclusivamente a estacionamento de veículos, vestiários, instalações sanitárias e áreas técnicas sem aproveitamento para quaisquer atividades ou permanência humana;</w:t>
      </w:r>
    </w:p>
    <w:p w:rsidR="00971673" w:rsidRDefault="00971673" w:rsidP="00971673">
      <w:pPr>
        <w:pStyle w:val="PargrafodaLista"/>
        <w:rPr>
          <w:sz w:val="23"/>
          <w:szCs w:val="23"/>
        </w:rPr>
      </w:pP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Art. 31. </w:t>
      </w:r>
      <w:r>
        <w:rPr>
          <w:sz w:val="23"/>
          <w:szCs w:val="23"/>
        </w:rPr>
        <w:t xml:space="preserve">Para fins de aplicação desta Legislação, no cálculo da área a ser protegida com as medidas de segurança contra incêndio, não serão computados: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 - telheiros, com laterais abertas, destinados à proteção de utensílios, caixas d'água, tanques e outras instalações desde que não tenham área superior a 10m</w:t>
      </w:r>
      <w:r w:rsidRPr="00971673">
        <w:rPr>
          <w:sz w:val="23"/>
          <w:szCs w:val="23"/>
        </w:rPr>
        <w:t xml:space="preserve">2 </w:t>
      </w:r>
      <w:r>
        <w:rPr>
          <w:sz w:val="23"/>
          <w:szCs w:val="23"/>
        </w:rPr>
        <w:t xml:space="preserve">(dez metros quadrados); </w:t>
      </w:r>
    </w:p>
    <w:p w:rsidR="00971673" w:rsidRPr="00971673" w:rsidRDefault="00971673" w:rsidP="00971673">
      <w:pPr>
        <w:pStyle w:val="Default"/>
        <w:rPr>
          <w:sz w:val="23"/>
          <w:szCs w:val="23"/>
        </w:rPr>
      </w:pPr>
      <w:r w:rsidRPr="00971673">
        <w:rPr>
          <w:sz w:val="23"/>
          <w:szCs w:val="23"/>
        </w:rPr>
        <w:t>II - platibandas e beirais de telhado até 3m (três metros) de projeção;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III - passagens cobertas, com largura máxima de 3m (três metros), com laterais abertas, destinadas apenas à circulação de pessoas ou de mercadorias;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IV - coberturas de bombas de combustível e de praças de pedágio, desde que não sejam utilizadas para outros fins e sejam abertas lateralmente;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 - reservatórios de água;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 - piscinas, banheiros, vestiários e assemelhados, no tocante a sistemas hidráulicos, alarme de incêndio e quadras esportivas com cobertura e sem paredes; </w:t>
      </w:r>
    </w:p>
    <w:p w:rsidR="00971673" w:rsidRDefault="00971673" w:rsidP="00971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VII - escadas enclausuradas, incluindo as antecâmaras; </w:t>
      </w:r>
    </w:p>
    <w:p w:rsidR="00971673" w:rsidRDefault="00971673" w:rsidP="00971673">
      <w:pPr>
        <w:pStyle w:val="Default"/>
        <w:rPr>
          <w:sz w:val="23"/>
          <w:szCs w:val="23"/>
        </w:rPr>
      </w:pPr>
      <w:r w:rsidRPr="00971673">
        <w:rPr>
          <w:sz w:val="23"/>
          <w:szCs w:val="23"/>
        </w:rPr>
        <w:t>VIII - dutos de ventilação das saídas de emergência.</w:t>
      </w:r>
    </w:p>
    <w:p w:rsidR="001465AD" w:rsidRDefault="001465AD" w:rsidP="00971673">
      <w:pPr>
        <w:pStyle w:val="Default"/>
        <w:rPr>
          <w:sz w:val="23"/>
          <w:szCs w:val="23"/>
        </w:rPr>
      </w:pPr>
    </w:p>
    <w:p w:rsidR="001465AD" w:rsidRDefault="001465AD" w:rsidP="001465AD">
      <w:pPr>
        <w:ind w:firstLine="1416"/>
        <w:jc w:val="both"/>
      </w:pPr>
    </w:p>
    <w:p w:rsidR="001465AD" w:rsidRDefault="001465AD" w:rsidP="001465AD">
      <w:pPr>
        <w:ind w:firstLine="1416"/>
        <w:jc w:val="both"/>
      </w:pPr>
    </w:p>
    <w:p w:rsidR="001465AD" w:rsidRDefault="001465AD" w:rsidP="001465AD">
      <w:pPr>
        <w:ind w:firstLine="1416"/>
        <w:jc w:val="both"/>
      </w:pPr>
      <w:r>
        <w:t>Atenciosamente</w:t>
      </w:r>
    </w:p>
    <w:p w:rsidR="001465AD" w:rsidRDefault="001465AD" w:rsidP="001465AD">
      <w:pPr>
        <w:ind w:firstLine="1416"/>
        <w:jc w:val="both"/>
      </w:pPr>
    </w:p>
    <w:p w:rsidR="001465AD" w:rsidRDefault="001465AD" w:rsidP="001465AD">
      <w:pPr>
        <w:ind w:firstLine="1416"/>
        <w:jc w:val="both"/>
      </w:pPr>
    </w:p>
    <w:p w:rsidR="001465AD" w:rsidRDefault="001465AD" w:rsidP="001465AD">
      <w:pPr>
        <w:ind w:firstLine="1416"/>
        <w:jc w:val="both"/>
      </w:pPr>
      <w:bookmarkStart w:id="0" w:name="_GoBack"/>
      <w:bookmarkEnd w:id="0"/>
    </w:p>
    <w:p w:rsidR="001465AD" w:rsidRDefault="001465AD" w:rsidP="001465AD">
      <w:pPr>
        <w:ind w:firstLine="1416"/>
        <w:jc w:val="center"/>
      </w:pPr>
    </w:p>
    <w:tbl>
      <w:tblPr>
        <w:tblStyle w:val="Tabelacomgrade"/>
        <w:tblW w:w="4813" w:type="dxa"/>
        <w:tblInd w:w="42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246"/>
      </w:tblGrid>
      <w:tr w:rsidR="001465AD" w:rsidTr="001465AD">
        <w:tc>
          <w:tcPr>
            <w:tcW w:w="567" w:type="dxa"/>
          </w:tcPr>
          <w:p w:rsidR="001465AD" w:rsidRDefault="001465AD" w:rsidP="001465AD">
            <w:pPr>
              <w:jc w:val="center"/>
            </w:pPr>
          </w:p>
        </w:tc>
        <w:tc>
          <w:tcPr>
            <w:tcW w:w="4246" w:type="dxa"/>
            <w:tcBorders>
              <w:top w:val="single" w:sz="4" w:space="0" w:color="auto"/>
            </w:tcBorders>
          </w:tcPr>
          <w:p w:rsidR="001465AD" w:rsidRDefault="001465AD" w:rsidP="001465AD">
            <w:pPr>
              <w:jc w:val="center"/>
            </w:pPr>
            <w:r>
              <w:t>Responsável Técnico</w:t>
            </w:r>
          </w:p>
          <w:p w:rsidR="001465AD" w:rsidRDefault="001465AD" w:rsidP="001465AD">
            <w:pPr>
              <w:jc w:val="center"/>
            </w:pPr>
            <w:r>
              <w:t>Eng. Nataniel A. Bridi</w:t>
            </w:r>
            <w:proofErr w:type="gramStart"/>
            <w:r>
              <w:t xml:space="preserve">  </w:t>
            </w:r>
            <w:proofErr w:type="gramEnd"/>
            <w:r>
              <w:t>dos  Santos</w:t>
            </w:r>
          </w:p>
          <w:p w:rsidR="001465AD" w:rsidRDefault="001465AD" w:rsidP="001465AD">
            <w:pPr>
              <w:jc w:val="center"/>
            </w:pPr>
            <w:r>
              <w:t>CREA 122.001--</w:t>
            </w:r>
            <w:proofErr w:type="spellStart"/>
            <w:r>
              <w:t>Ds</w:t>
            </w:r>
            <w:proofErr w:type="spellEnd"/>
          </w:p>
        </w:tc>
      </w:tr>
    </w:tbl>
    <w:p w:rsidR="001465AD" w:rsidRDefault="001465AD" w:rsidP="001465AD">
      <w:pPr>
        <w:ind w:firstLine="1416"/>
        <w:jc w:val="both"/>
      </w:pPr>
    </w:p>
    <w:p w:rsidR="001465AD" w:rsidRDefault="001465AD" w:rsidP="001465AD">
      <w:pPr>
        <w:ind w:firstLine="1416"/>
        <w:jc w:val="both"/>
      </w:pPr>
    </w:p>
    <w:sectPr w:rsidR="001465AD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81" w:rsidRDefault="005C7081" w:rsidP="00C15FB9">
      <w:pPr>
        <w:spacing w:after="0" w:line="240" w:lineRule="auto"/>
      </w:pPr>
      <w:r>
        <w:separator/>
      </w:r>
    </w:p>
  </w:endnote>
  <w:endnote w:type="continuationSeparator" w:id="0">
    <w:p w:rsidR="005C7081" w:rsidRDefault="005C7081" w:rsidP="00C15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81" w:rsidRDefault="005C7081" w:rsidP="00C15FB9">
      <w:pPr>
        <w:spacing w:after="0" w:line="240" w:lineRule="auto"/>
      </w:pPr>
      <w:r>
        <w:separator/>
      </w:r>
    </w:p>
  </w:footnote>
  <w:footnote w:type="continuationSeparator" w:id="0">
    <w:p w:rsidR="005C7081" w:rsidRDefault="005C7081" w:rsidP="00C15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auto"/>
      </w:tblBorders>
      <w:tblLook w:val="04A0" w:firstRow="1" w:lastRow="0" w:firstColumn="1" w:lastColumn="0" w:noHBand="0" w:noVBand="1"/>
    </w:tblPr>
    <w:tblGrid>
      <w:gridCol w:w="4016"/>
      <w:gridCol w:w="4704"/>
    </w:tblGrid>
    <w:tr w:rsidR="00C15FB9" w:rsidTr="007F6077">
      <w:trPr>
        <w:trHeight w:val="1757"/>
      </w:trPr>
      <w:tc>
        <w:tcPr>
          <w:tcW w:w="4888" w:type="dxa"/>
          <w:tcBorders>
            <w:bottom w:val="single" w:sz="8" w:space="0" w:color="8DB3E2"/>
          </w:tcBorders>
          <w:shd w:val="clear" w:color="auto" w:fill="auto"/>
          <w:vAlign w:val="center"/>
        </w:tcPr>
        <w:p w:rsidR="00C15FB9" w:rsidRPr="0007046E" w:rsidRDefault="00C15FB9" w:rsidP="007F6077">
          <w:pPr>
            <w:pStyle w:val="Cabealho"/>
            <w:tabs>
              <w:tab w:val="right" w:pos="9639"/>
            </w:tabs>
          </w:pPr>
        </w:p>
      </w:tc>
      <w:tc>
        <w:tcPr>
          <w:tcW w:w="4888" w:type="dxa"/>
          <w:tcBorders>
            <w:bottom w:val="single" w:sz="8" w:space="0" w:color="8DB3E2"/>
          </w:tcBorders>
          <w:shd w:val="clear" w:color="auto" w:fill="auto"/>
        </w:tcPr>
        <w:p w:rsidR="00C15FB9" w:rsidRPr="0007046E" w:rsidRDefault="00C15FB9" w:rsidP="007F6077">
          <w:pPr>
            <w:pStyle w:val="Cabealho"/>
            <w:tabs>
              <w:tab w:val="right" w:pos="9639"/>
            </w:tabs>
            <w:jc w:val="right"/>
          </w:pPr>
          <w:r>
            <w:rPr>
              <w:noProof/>
              <w:lang w:eastAsia="pt-BR"/>
            </w:rPr>
            <w:drawing>
              <wp:inline distT="0" distB="0" distL="0" distR="0" wp14:anchorId="594FE78E" wp14:editId="69731869">
                <wp:extent cx="2343150" cy="1152525"/>
                <wp:effectExtent l="0" t="0" r="0" b="0"/>
                <wp:docPr id="3" name="Imagem 3" descr="SPM - MARCA OFICIAL HORIZONT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PM - MARCA OFICIAL HORIZONT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4315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15FB9" w:rsidRDefault="00C15FB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C4EDF"/>
    <w:multiLevelType w:val="hybridMultilevel"/>
    <w:tmpl w:val="1BBA09C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7AC1E02"/>
    <w:multiLevelType w:val="hybridMultilevel"/>
    <w:tmpl w:val="1220C19C"/>
    <w:lvl w:ilvl="0" w:tplc="A6C0B2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4A6980"/>
    <w:multiLevelType w:val="hybridMultilevel"/>
    <w:tmpl w:val="25D4AFD6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C69"/>
    <w:rsid w:val="00056432"/>
    <w:rsid w:val="00091615"/>
    <w:rsid w:val="001465AD"/>
    <w:rsid w:val="0030734E"/>
    <w:rsid w:val="00384D3C"/>
    <w:rsid w:val="004C5A07"/>
    <w:rsid w:val="005C7081"/>
    <w:rsid w:val="005D20BE"/>
    <w:rsid w:val="005D4481"/>
    <w:rsid w:val="005F4DD1"/>
    <w:rsid w:val="00600EE4"/>
    <w:rsid w:val="0066358D"/>
    <w:rsid w:val="006E1914"/>
    <w:rsid w:val="0073661F"/>
    <w:rsid w:val="007658D1"/>
    <w:rsid w:val="00770D62"/>
    <w:rsid w:val="00811E04"/>
    <w:rsid w:val="008306AB"/>
    <w:rsid w:val="00835D09"/>
    <w:rsid w:val="00896AB4"/>
    <w:rsid w:val="00971673"/>
    <w:rsid w:val="00A003A5"/>
    <w:rsid w:val="00AB231C"/>
    <w:rsid w:val="00B92581"/>
    <w:rsid w:val="00BD080D"/>
    <w:rsid w:val="00C15FB9"/>
    <w:rsid w:val="00D00C69"/>
    <w:rsid w:val="00E20235"/>
    <w:rsid w:val="00E24274"/>
    <w:rsid w:val="00EC3586"/>
    <w:rsid w:val="00FD0377"/>
    <w:rsid w:val="00FE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00C69"/>
    <w:pPr>
      <w:ind w:left="720"/>
      <w:contextualSpacing/>
    </w:pPr>
  </w:style>
  <w:style w:type="paragraph" w:customStyle="1" w:styleId="Default">
    <w:name w:val="Default"/>
    <w:rsid w:val="009716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aliases w:val="Cabeçalho superior,Cabeçalho1"/>
    <w:basedOn w:val="Normal"/>
    <w:link w:val="CabealhoChar"/>
    <w:unhideWhenUsed/>
    <w:rsid w:val="00C15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Cabeçalho1 Char"/>
    <w:basedOn w:val="Fontepargpadro"/>
    <w:link w:val="Cabealho"/>
    <w:rsid w:val="00C15FB9"/>
  </w:style>
  <w:style w:type="paragraph" w:styleId="Rodap">
    <w:name w:val="footer"/>
    <w:basedOn w:val="Normal"/>
    <w:link w:val="RodapChar"/>
    <w:uiPriority w:val="99"/>
    <w:unhideWhenUsed/>
    <w:rsid w:val="00C15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5FB9"/>
  </w:style>
  <w:style w:type="paragraph" w:styleId="Textodebalo">
    <w:name w:val="Balloon Text"/>
    <w:basedOn w:val="Normal"/>
    <w:link w:val="TextodebaloChar"/>
    <w:uiPriority w:val="99"/>
    <w:semiHidden/>
    <w:unhideWhenUsed/>
    <w:rsid w:val="00C1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5FB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14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00C69"/>
    <w:pPr>
      <w:ind w:left="720"/>
      <w:contextualSpacing/>
    </w:pPr>
  </w:style>
  <w:style w:type="paragraph" w:customStyle="1" w:styleId="Default">
    <w:name w:val="Default"/>
    <w:rsid w:val="009716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aliases w:val="Cabeçalho superior,Cabeçalho1"/>
    <w:basedOn w:val="Normal"/>
    <w:link w:val="CabealhoChar"/>
    <w:unhideWhenUsed/>
    <w:rsid w:val="00C15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Cabeçalho1 Char"/>
    <w:basedOn w:val="Fontepargpadro"/>
    <w:link w:val="Cabealho"/>
    <w:rsid w:val="00C15FB9"/>
  </w:style>
  <w:style w:type="paragraph" w:styleId="Rodap">
    <w:name w:val="footer"/>
    <w:basedOn w:val="Normal"/>
    <w:link w:val="RodapChar"/>
    <w:uiPriority w:val="99"/>
    <w:unhideWhenUsed/>
    <w:rsid w:val="00C15F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5FB9"/>
  </w:style>
  <w:style w:type="paragraph" w:styleId="Textodebalo">
    <w:name w:val="Balloon Text"/>
    <w:basedOn w:val="Normal"/>
    <w:link w:val="TextodebaloChar"/>
    <w:uiPriority w:val="99"/>
    <w:semiHidden/>
    <w:unhideWhenUsed/>
    <w:rsid w:val="00C15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5FB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14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615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Nataniel Bridi</dc:creator>
  <cp:keywords/>
  <dc:description/>
  <cp:lastModifiedBy>Priscila da Cunha</cp:lastModifiedBy>
  <cp:revision>20</cp:revision>
  <cp:lastPrinted>2016-09-27T17:43:00Z</cp:lastPrinted>
  <dcterms:created xsi:type="dcterms:W3CDTF">2016-04-26T17:24:00Z</dcterms:created>
  <dcterms:modified xsi:type="dcterms:W3CDTF">2016-12-07T10:36:00Z</dcterms:modified>
</cp:coreProperties>
</file>